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20" w:rsidRDefault="00E42320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2320" w:rsidRDefault="00E42320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745786"/>
            <wp:effectExtent l="0" t="0" r="3175" b="0"/>
            <wp:docPr id="1" name="Рисунок 1" descr="C:\Users\анжела\Desktop\положение коррупция\Положение об анти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положение коррупция\Положение об антик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сотрудничество организации с правоохранительными органами;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принятие кодекса этики и служебного поведения работников организации;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предотвращение и урегулирование конфликта интересов;</w:t>
      </w:r>
    </w:p>
    <w:p w:rsidR="00C8239B" w:rsidRPr="00C8239B" w:rsidRDefault="00C8239B" w:rsidP="00C8239B">
      <w:pPr>
        <w:shd w:val="clear" w:color="auto" w:fill="FFFFFF"/>
        <w:spacing w:after="0" w:line="312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C8239B" w:rsidRPr="00C8239B" w:rsidRDefault="00C8239B" w:rsidP="00C8239B">
      <w:pPr>
        <w:spacing w:after="0" w:line="312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 </w:t>
      </w:r>
      <w:r w:rsidR="0083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Антикоррупционная политика 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направлена на реализацию данных мер.</w:t>
      </w:r>
    </w:p>
    <w:p w:rsidR="00C8239B" w:rsidRPr="00C8239B" w:rsidRDefault="00C8239B" w:rsidP="00C8239B">
      <w:pPr>
        <w:spacing w:after="0" w:line="312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</w:p>
    <w:p w:rsidR="00C8239B" w:rsidRPr="00C8239B" w:rsidRDefault="00C8239B" w:rsidP="00C8239B">
      <w:pPr>
        <w:spacing w:after="0" w:line="312" w:lineRule="atLeast"/>
        <w:ind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83482D" w:rsidRDefault="00C8239B" w:rsidP="00C8239B">
      <w:pPr>
        <w:spacing w:after="0" w:line="312" w:lineRule="atLeast"/>
        <w:ind w:left="720" w:hanging="3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в политике понятия и определения</w:t>
      </w:r>
    </w:p>
    <w:p w:rsidR="00C8239B" w:rsidRPr="00C8239B" w:rsidRDefault="00C8239B" w:rsidP="00C8239B">
      <w:pPr>
        <w:spacing w:after="0" w:line="312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Коррупция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Контрагент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Взятка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Коммерческий подкуп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Конфликт интересов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(представителем организации) которой он является.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Личная заинтересованность работника (представителя организации)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3.Основные принципы антикоррупционной  деятельности организации</w:t>
      </w:r>
    </w:p>
    <w:p w:rsidR="00C8239B" w:rsidRPr="00C8239B" w:rsidRDefault="00C8239B" w:rsidP="00C82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lastRenderedPageBreak/>
        <w:t>     Системы мер п</w:t>
      </w:r>
      <w:r w:rsidR="008348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ротиводействия коррупции в организации</w:t>
      </w:r>
      <w:r w:rsidRPr="00C823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основыва</w:t>
      </w:r>
      <w:r w:rsidR="008348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ет</w:t>
      </w:r>
      <w:r w:rsidRPr="00C823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ся на следующих ключевых принципах: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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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личного примера руководства.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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вовлеченности работников.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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соразмерности антикоррупционных процедур риску коррупции.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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эффективности  антикоррупционных процедур.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приносят значимый результат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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ответственности и неотвратимости наказания.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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открытости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</w:t>
      </w:r>
      <w:r w:rsidRPr="00C8239B">
        <w:rPr>
          <w:rFonts w:ascii="Symbol" w:eastAsia="Times New Roman" w:hAnsi="Symbol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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Принцип постоянного контроля и регулярного мониторинга.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исполнением.</w:t>
      </w:r>
    </w:p>
    <w:p w:rsidR="00C8239B" w:rsidRPr="00C8239B" w:rsidRDefault="00C8239B" w:rsidP="00C823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Область применения политики и круг лиц, попадающих под ее действие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Основным кругом лиц, попадающих под действие по</w:t>
      </w:r>
      <w:r w:rsidR="0083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литики, являются работники 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 </w:t>
      </w:r>
      <w:r w:rsidRPr="00C8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нужно включить в текст договоров.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83482D" w:rsidRDefault="00C8239B" w:rsidP="00C8239B">
      <w:pPr>
        <w:spacing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 О</w:t>
      </w:r>
      <w:r w:rsid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пределение должностных лиц организации</w:t>
      </w: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ответственных за реализацию антикоррупционной  политики</w:t>
      </w:r>
    </w:p>
    <w:p w:rsidR="00C8239B" w:rsidRPr="00C8239B" w:rsidRDefault="0083482D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организации</w:t>
      </w:r>
      <w:r w:rsidR="00C8239B"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C8239B" w:rsidRPr="00C8239B" w:rsidRDefault="00C8239B" w:rsidP="00C8239B">
      <w:pPr>
        <w:spacing w:after="0" w:line="312" w:lineRule="atLeast"/>
        <w:ind w:left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Задачи, функции и полномочия   директора в сфере противодействия коррупции определены его Должностной инструкцией.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обязанности  включают в частности: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проведения оценки коррупционных рисков;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заполнения и рассмотрения </w:t>
      </w:r>
      <w:r w:rsidRPr="00C8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деклараций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конфликте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воздерживаться от совершения и (или) участия в совершении коррупционных правонарушени</w:t>
      </w:r>
      <w:r w:rsidR="0083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в интересах или от имени 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</w:t>
      </w:r>
      <w:r w:rsidR="0083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в интересах или от имени 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эффективного исполнения возложенных на работников обязанностей   регламентируются процедуры их соблюдения.     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7. Установление 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p w:rsidR="00C8239B" w:rsidRPr="00C8239B" w:rsidRDefault="00C8239B" w:rsidP="00C8239B">
      <w:pPr>
        <w:spacing w:after="0" w:line="312" w:lineRule="atLeast"/>
        <w:ind w:left="432" w:hanging="43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1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768"/>
      </w:tblGrid>
      <w:tr w:rsidR="00C8239B" w:rsidRPr="00C8239B" w:rsidTr="00C8239B">
        <w:trPr>
          <w:trHeight w:val="35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Направление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C8239B" w:rsidRPr="00C8239B" w:rsidTr="00C8239B">
        <w:trPr>
          <w:trHeight w:val="350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  <w:bookmarkStart w:id="1" w:name="_ftnref1"/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823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[1]</w:t>
            </w: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</w:tr>
      <w:tr w:rsidR="00C8239B" w:rsidRPr="00C8239B" w:rsidTr="00C8239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  <w:r w:rsidR="0083482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83482D" w:rsidRPr="0083482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Приложение 1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C8239B" w:rsidRPr="00C8239B" w:rsidTr="00C8239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C8239B" w:rsidRPr="00C8239B" w:rsidTr="00C8239B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</w:t>
            </w: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</w:t>
            </w:r>
          </w:p>
        </w:tc>
      </w:tr>
      <w:tr w:rsidR="00C8239B" w:rsidRPr="00C8239B" w:rsidTr="00C8239B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C8239B" w:rsidRPr="00C8239B" w:rsidTr="00C8239B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8239B" w:rsidRPr="00C8239B" w:rsidTr="00C8239B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C8239B" w:rsidRPr="00C8239B" w:rsidTr="00C8239B">
        <w:trPr>
          <w:trHeight w:val="457"/>
        </w:trPr>
        <w:tc>
          <w:tcPr>
            <w:tcW w:w="2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83482D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83482D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83482D" w:rsidRDefault="00C8239B" w:rsidP="00C823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2" w:name="_ftnref2"/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348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[2]</w:t>
            </w:r>
            <w:r w:rsidRPr="00834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2"/>
          </w:p>
        </w:tc>
      </w:tr>
      <w:tr w:rsidR="00C8239B" w:rsidRPr="00C8239B" w:rsidTr="00C8239B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239B" w:rsidRPr="00C8239B" w:rsidRDefault="00C8239B" w:rsidP="00C8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239B" w:rsidRPr="0083482D" w:rsidRDefault="00C8239B" w:rsidP="0083482D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9B" w:rsidRPr="0083482D" w:rsidRDefault="00C8239B" w:rsidP="00C8239B">
      <w:pPr>
        <w:spacing w:after="0" w:line="312" w:lineRule="atLeast"/>
        <w:ind w:left="1080" w:hanging="36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коррупционных рисков</w:t>
      </w:r>
    </w:p>
    <w:p w:rsidR="00C8239B" w:rsidRPr="00C8239B" w:rsidRDefault="00C8239B" w:rsidP="00C8239B">
      <w:pPr>
        <w:spacing w:after="0" w:line="312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работниками организации коррупционных 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правонарушений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целях получения личной выгоды, так и в целях получения выгоды организацией.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Порядок проведения оценки коррупционных рисков: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представить деятельность </w:t>
      </w:r>
      <w:r w:rsidRPr="00C82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виде отдельных  процессов, в каждом из которых выделить составные элементы (</w:t>
      </w:r>
      <w:proofErr w:type="spell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подпроцессы</w:t>
      </w:r>
      <w:proofErr w:type="spell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выделить «критические точки» - для каждого  процесса и определить те элементы (</w:t>
      </w:r>
      <w:proofErr w:type="spell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подпроцессы</w:t>
      </w:r>
      <w:proofErr w:type="spell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каждого </w:t>
      </w:r>
      <w:proofErr w:type="spell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подпроцесса</w:t>
      </w:r>
      <w:proofErr w:type="spell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8239B" w:rsidRPr="00C8239B" w:rsidRDefault="00C8239B" w:rsidP="00C8239B">
      <w:pPr>
        <w:spacing w:after="0" w:line="312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C8239B" w:rsidRPr="00C8239B" w:rsidRDefault="00C8239B" w:rsidP="00C8239B">
      <w:pPr>
        <w:spacing w:after="0" w:line="312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C8239B" w:rsidRPr="00C8239B" w:rsidRDefault="00C8239B" w:rsidP="00C8239B">
      <w:pPr>
        <w:spacing w:after="0" w:line="312" w:lineRule="atLeast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вероятные формы осуществления коррупционных платежей.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Разработать комплекс мер по устранению или минимизации коррупционных рисков. </w:t>
      </w:r>
    </w:p>
    <w:p w:rsidR="00C8239B" w:rsidRPr="00C8239B" w:rsidRDefault="00C8239B" w:rsidP="00C823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83482D" w:rsidRDefault="00C8239B" w:rsidP="00C8239B">
      <w:pPr>
        <w:spacing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  сотрудников за несоблюдение требований антикоррупционной политики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следует учитывать, что конфликт интересов может принимать множество различных форм.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 целью регулирования и предотвращения конфликта интересов в деятельности своих работников в школе следует  принять Положение о конфликте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цели и задачи положения о конфликте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используемые в положении понятия и определения;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 лиц, попадающих под действие положения;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принципы управления конфликтом интересов в организации;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работников за несоблюдение положения о конфликте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индивидуальное рассмотрение и оценка </w:t>
      </w:r>
      <w:proofErr w:type="spell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репутационных</w:t>
      </w:r>
      <w:proofErr w:type="spell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раскрывать возникший (реальный) или потенциальный конфликт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содействовать урегулированию возникшего конфликта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раскрытие сведений о конфликте интересов при приеме на работу;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раскрытие сведений о конфликте интересов при назначении на новую должность;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разовое раскрытие сведений по мере возникновения ситуаций конфликта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8239B" w:rsidRPr="00C8239B" w:rsidRDefault="0083482D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Организация</w:t>
      </w:r>
      <w:r w:rsidR="00C8239B"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</w:t>
      </w:r>
      <w:r w:rsidR="00834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у, что в итоге этой работы организация</w:t>
      </w:r>
      <w:r w:rsidR="00150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сделать  вывод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</w:t>
      </w:r>
      <w:r w:rsidR="00150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Организация также может сделать  вывод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конфликт интересов имеет место, и использовать различные способы его разрешения, в том числе: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="00150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бровольный отказ работника организации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пересмотр и изменение функциональных обязанностей работника;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увольнение работника из организации по инициативе работника;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</w:t>
      </w:r>
    </w:p>
    <w:p w:rsidR="00C8239B" w:rsidRPr="00150D9F" w:rsidRDefault="00150D9F" w:rsidP="00C8239B">
      <w:pPr>
        <w:spacing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 </w:t>
      </w:r>
      <w:r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организации</w:t>
      </w:r>
      <w:r w:rsidR="00C8239B"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 проводиться </w:t>
      </w:r>
      <w:proofErr w:type="gramStart"/>
      <w:r w:rsidR="00C8239B"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работников по вопросам</w:t>
      </w:r>
      <w:proofErr w:type="gramEnd"/>
      <w:r w:rsidR="00C8239B"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коррупция в государственном и частном секторах экономики (теоретическая);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юридическая ответственность за совершение коррупционных правонарушений;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прикладная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Возможны следующие виды обучения: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по вопросам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 по вопросам противодействия коррупции обычно осуществляется в индивидуальном порядке. </w:t>
      </w:r>
    </w:p>
    <w:p w:rsidR="00C8239B" w:rsidRPr="00150D9F" w:rsidRDefault="00C8239B" w:rsidP="00C8239B">
      <w:pPr>
        <w:spacing w:after="168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ru-RU"/>
        </w:rPr>
        <w:t> </w:t>
      </w:r>
      <w:r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законом от 6 декабря 2011 г. № 402-ФЗ </w:t>
      </w:r>
      <w:r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осуществлять</w:t>
      </w:r>
      <w:proofErr w:type="gramEnd"/>
      <w:r w:rsidRPr="0015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документирования операций хозяйственной деятельности организации;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C8239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C8239B" w:rsidRPr="00C8239B" w:rsidRDefault="00C8239B" w:rsidP="00C8239B">
      <w:pPr>
        <w:spacing w:after="0" w:line="312" w:lineRule="atLeast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Контроль документирования операций хозяйственной </w:t>
      </w:r>
      <w:proofErr w:type="gramStart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proofErr w:type="gramEnd"/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</w:t>
      </w: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отчетности, уничтожения документов и отчетности ранее установленного срока и т.д. </w:t>
      </w:r>
    </w:p>
    <w:p w:rsidR="00C8239B" w:rsidRPr="00C8239B" w:rsidRDefault="00C8239B" w:rsidP="00C823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9.Порядок пересмотра и внесения изменений в антикоррупционную политику организации</w:t>
      </w:r>
    </w:p>
    <w:p w:rsidR="00C8239B" w:rsidRPr="00C8239B" w:rsidRDefault="00C8239B" w:rsidP="00C8239B">
      <w:pPr>
        <w:spacing w:after="0" w:line="312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8239B" w:rsidRPr="00C8239B" w:rsidRDefault="00C8239B" w:rsidP="00C8239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150D9F" w:rsidRDefault="00150D9F">
      <w:pPr>
        <w:rPr>
          <w:rFonts w:ascii="Times New Roman" w:hAnsi="Times New Roman" w:cs="Times New Roman"/>
          <w:sz w:val="28"/>
          <w:szCs w:val="28"/>
        </w:rPr>
      </w:pPr>
    </w:p>
    <w:p w:rsidR="002701EA" w:rsidRPr="00150D9F" w:rsidRDefault="00150D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0D9F">
        <w:rPr>
          <w:rFonts w:ascii="Times New Roman" w:hAnsi="Times New Roman" w:cs="Times New Roman"/>
          <w:b/>
          <w:i/>
          <w:sz w:val="28"/>
          <w:szCs w:val="28"/>
        </w:rPr>
        <w:t>10 Приложения к данному положению</w:t>
      </w:r>
    </w:p>
    <w:p w:rsidR="00150D9F" w:rsidRDefault="009E29F8" w:rsidP="000B47F2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Кодекс</w:t>
      </w:r>
      <w:r w:rsidRPr="00C823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этики и служебного поведения работников организации</w:t>
      </w:r>
      <w:r w:rsidR="008F3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Приложение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E29F8" w:rsidRDefault="009E29F8" w:rsidP="000B47F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9E2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E29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увед</w:t>
      </w:r>
      <w:r w:rsidR="000B4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омлению о склонении к коррупции</w:t>
      </w:r>
      <w:r w:rsidR="008F39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8F392F" w:rsidRPr="008F3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3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2</w:t>
      </w:r>
      <w:r w:rsidR="008F39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0B47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8F392F" w:rsidRPr="00B42584" w:rsidRDefault="000B47F2" w:rsidP="008F39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 </w:t>
      </w:r>
      <w:r w:rsidRPr="000B47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7F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уведомления о фактах обращения в целях склонения</w:t>
      </w:r>
      <w:r w:rsidR="008F392F" w:rsidRPr="008F39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F392F" w:rsidRPr="008F392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proofErr w:type="gramEnd"/>
    </w:p>
    <w:p w:rsidR="000B47F2" w:rsidRPr="008F392F" w:rsidRDefault="008F392F" w:rsidP="008F39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совершению  коррупционных правонарушений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8F3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3.</w:t>
      </w:r>
      <w:r w:rsidR="000B47F2" w:rsidRPr="000B47F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E29F8" w:rsidRPr="000B47F2" w:rsidRDefault="009E29F8" w:rsidP="000B47F2">
      <w:pPr>
        <w:spacing w:after="0"/>
        <w:textAlignment w:val="baseline"/>
        <w:rPr>
          <w:rFonts w:ascii="Times New Roman" w:eastAsia="Times New Roman" w:hAnsi="Times New Roman" w:cs="Times New Roman"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9E29F8" w:rsidRPr="000B47F2" w:rsidRDefault="009E29F8" w:rsidP="000B4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29F8" w:rsidRPr="000B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DE"/>
    <w:rsid w:val="00017016"/>
    <w:rsid w:val="000B47F2"/>
    <w:rsid w:val="000D4465"/>
    <w:rsid w:val="00150D9F"/>
    <w:rsid w:val="002701EA"/>
    <w:rsid w:val="003C11B4"/>
    <w:rsid w:val="006309DE"/>
    <w:rsid w:val="0083482D"/>
    <w:rsid w:val="008F392F"/>
    <w:rsid w:val="009E29F8"/>
    <w:rsid w:val="00A665FD"/>
    <w:rsid w:val="00C8239B"/>
    <w:rsid w:val="00E42320"/>
    <w:rsid w:val="00F7279C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Бондорева</dc:creator>
  <cp:keywords/>
  <dc:description/>
  <cp:lastModifiedBy>анжела</cp:lastModifiedBy>
  <cp:revision>7</cp:revision>
  <dcterms:created xsi:type="dcterms:W3CDTF">2014-10-31T05:01:00Z</dcterms:created>
  <dcterms:modified xsi:type="dcterms:W3CDTF">2014-11-20T09:50:00Z</dcterms:modified>
</cp:coreProperties>
</file>